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5F" w:rsidRPr="00E071EE" w:rsidRDefault="00590A92" w:rsidP="003E6B5F">
      <w:pPr>
        <w:pStyle w:val="Titre2"/>
        <w:rPr>
          <w:rFonts w:ascii="Utsaah" w:hAnsi="Utsaah" w:cs="Utsaah"/>
          <w:color w:val="215868" w:themeColor="accent5" w:themeShade="80"/>
          <w:sz w:val="28"/>
          <w:szCs w:val="28"/>
        </w:rPr>
      </w:pPr>
      <w:r w:rsidRPr="00E071EE">
        <w:rPr>
          <w:rFonts w:ascii="Utsaah" w:hAnsi="Utsaah" w:cs="Utsaah"/>
          <w:color w:val="215868" w:themeColor="accent5" w:themeShade="80"/>
          <w:sz w:val="28"/>
          <w:szCs w:val="28"/>
        </w:rPr>
        <w:t>PROGRAMME</w:t>
      </w:r>
      <w:r w:rsidR="003B4B95" w:rsidRPr="00E071EE">
        <w:rPr>
          <w:rFonts w:ascii="Utsaah" w:hAnsi="Utsaah" w:cs="Utsaah"/>
          <w:color w:val="215868" w:themeColor="accent5" w:themeShade="80"/>
          <w:sz w:val="28"/>
          <w:szCs w:val="28"/>
        </w:rPr>
        <w:t xml:space="preserve"> – Baccalauréat en psychoéducation</w:t>
      </w:r>
      <w:r w:rsidR="00562726">
        <w:rPr>
          <w:rFonts w:ascii="Utsaah" w:hAnsi="Utsaah" w:cs="Utsaah"/>
          <w:color w:val="215868" w:themeColor="accent5" w:themeShade="80"/>
          <w:sz w:val="28"/>
          <w:szCs w:val="28"/>
        </w:rPr>
        <w:t xml:space="preserve"> </w:t>
      </w:r>
    </w:p>
    <w:p w:rsidR="003E6B5F" w:rsidRPr="00562726" w:rsidRDefault="003E6B5F" w:rsidP="003E6B5F">
      <w:pPr>
        <w:jc w:val="center"/>
        <w:rPr>
          <w:rFonts w:ascii="Utsaah" w:hAnsi="Utsaah" w:cs="Utsaah"/>
          <w:sz w:val="22"/>
          <w:szCs w:val="22"/>
        </w:rPr>
      </w:pPr>
      <w:r w:rsidRPr="00E071EE">
        <w:rPr>
          <w:rFonts w:ascii="Utsaah" w:hAnsi="Utsaah" w:cs="Utsaah"/>
          <w:smallCaps/>
          <w:sz w:val="22"/>
          <w:szCs w:val="22"/>
        </w:rPr>
        <w:t xml:space="preserve">HORAIRE – </w:t>
      </w:r>
      <w:r w:rsidR="003B4B95" w:rsidRPr="00E071EE">
        <w:rPr>
          <w:rFonts w:ascii="Utsaah" w:hAnsi="Utsaah" w:cs="Utsaah"/>
          <w:smallCaps/>
          <w:sz w:val="22"/>
          <w:szCs w:val="22"/>
        </w:rPr>
        <w:t>Automne</w:t>
      </w:r>
      <w:r w:rsidR="00767324" w:rsidRPr="00E071EE">
        <w:rPr>
          <w:rFonts w:ascii="Utsaah" w:hAnsi="Utsaah" w:cs="Utsaah"/>
          <w:smallCaps/>
          <w:sz w:val="22"/>
          <w:szCs w:val="22"/>
        </w:rPr>
        <w:t xml:space="preserve"> </w:t>
      </w:r>
      <w:r w:rsidR="00FF5725">
        <w:rPr>
          <w:rFonts w:ascii="Utsaah" w:hAnsi="Utsaah" w:cs="Utsaah"/>
          <w:smallCaps/>
          <w:sz w:val="22"/>
          <w:szCs w:val="22"/>
        </w:rPr>
        <w:t>2018</w:t>
      </w:r>
    </w:p>
    <w:p w:rsidR="00A64EFF" w:rsidRPr="00F1195B" w:rsidRDefault="00A64EFF" w:rsidP="00A64EFF">
      <w:pPr>
        <w:jc w:val="center"/>
        <w:rPr>
          <w:rFonts w:ascii="Utsaah" w:hAnsi="Utsaah" w:cs="Utsaah"/>
          <w:i/>
          <w:sz w:val="32"/>
          <w:szCs w:val="32"/>
        </w:rPr>
      </w:pPr>
      <w:r w:rsidRPr="00F1195B">
        <w:rPr>
          <w:rFonts w:ascii="Utsaah" w:hAnsi="Utsaah" w:cs="Utsaah"/>
          <w:i/>
          <w:sz w:val="32"/>
          <w:szCs w:val="32"/>
        </w:rPr>
        <w:t>Horaire sujet à changement</w:t>
      </w:r>
      <w:r>
        <w:rPr>
          <w:rFonts w:ascii="Utsaah" w:hAnsi="Utsaah" w:cs="Utsaah"/>
          <w:i/>
          <w:sz w:val="32"/>
          <w:szCs w:val="32"/>
        </w:rPr>
        <w:t xml:space="preserve"> consulter le site </w:t>
      </w:r>
      <w:r w:rsidRPr="00F1195B">
        <w:rPr>
          <w:rFonts w:ascii="Utsaah" w:hAnsi="Utsaah" w:cs="Utsaah"/>
          <w:i/>
          <w:sz w:val="32"/>
          <w:szCs w:val="32"/>
        </w:rPr>
        <w:t>http://www.capsule.ulaval.ca/cms/site/capsule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05"/>
        <w:gridCol w:w="2469"/>
        <w:gridCol w:w="2422"/>
        <w:gridCol w:w="2685"/>
        <w:gridCol w:w="2418"/>
        <w:gridCol w:w="2520"/>
      </w:tblGrid>
      <w:tr w:rsidR="00733ED9" w:rsidRPr="00733ED9" w:rsidTr="001A5F86">
        <w:trPr>
          <w:cantSplit/>
          <w:tblHeader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HEURE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LUNDI</w:t>
            </w:r>
          </w:p>
        </w:tc>
        <w:tc>
          <w:tcPr>
            <w:tcW w:w="24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MARDI</w:t>
            </w:r>
          </w:p>
        </w:tc>
        <w:tc>
          <w:tcPr>
            <w:tcW w:w="2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ind w:right="-352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MERCREDI</w:t>
            </w:r>
          </w:p>
        </w:tc>
        <w:tc>
          <w:tcPr>
            <w:tcW w:w="2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JEUDI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31849B" w:themeFill="accent5" w:themeFillShade="BF"/>
          </w:tcPr>
          <w:p w:rsidR="003E6B5F" w:rsidRPr="00733ED9" w:rsidRDefault="003E6B5F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>VENDREDI</w:t>
            </w:r>
          </w:p>
        </w:tc>
      </w:tr>
      <w:tr w:rsidR="00C43796" w:rsidRPr="00733ED9" w:rsidTr="000657CC">
        <w:trPr>
          <w:cantSplit/>
          <w:tblHeader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C43796" w:rsidRPr="00733ED9" w:rsidRDefault="00C43796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7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43796" w:rsidRPr="00C43796" w:rsidRDefault="00C43796">
            <w:pPr>
              <w:spacing w:before="80" w:after="80"/>
              <w:ind w:right="-352"/>
              <w:jc w:val="center"/>
              <w:rPr>
                <w:rFonts w:ascii="Utsaah" w:hAnsi="Utsaah" w:cs="Utsaah"/>
                <w:b/>
                <w:color w:val="FFFFFF" w:themeColor="background1"/>
                <w:szCs w:val="24"/>
              </w:rPr>
            </w:pPr>
            <w:r w:rsidRPr="00C43796">
              <w:rPr>
                <w:rFonts w:ascii="Utsaah" w:hAnsi="Utsaah" w:cs="Utsaah"/>
                <w:b/>
                <w:szCs w:val="24"/>
              </w:rPr>
              <w:t>Stage en psychoéducation (3</w:t>
            </w:r>
            <w:r w:rsidRPr="00C43796">
              <w:rPr>
                <w:rFonts w:ascii="Utsaah" w:hAnsi="Utsaah" w:cs="Utsaah"/>
                <w:b/>
                <w:szCs w:val="24"/>
                <w:vertAlign w:val="superscript"/>
              </w:rPr>
              <w:t>e</w:t>
            </w:r>
            <w:r w:rsidRPr="00C43796">
              <w:rPr>
                <w:rFonts w:ascii="Utsaah" w:hAnsi="Utsaah" w:cs="Utsaah"/>
                <w:b/>
                <w:szCs w:val="24"/>
              </w:rPr>
              <w:t xml:space="preserve"> année)</w:t>
            </w:r>
          </w:p>
        </w:tc>
        <w:tc>
          <w:tcPr>
            <w:tcW w:w="2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3796" w:rsidRPr="00733ED9" w:rsidRDefault="00C43796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43796" w:rsidRPr="00733ED9" w:rsidRDefault="00C43796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E6B5F" w:rsidRPr="00944163" w:rsidTr="001A5F86">
        <w:trPr>
          <w:cantSplit/>
          <w:trHeight w:val="1829"/>
          <w:jc w:val="center"/>
        </w:trPr>
        <w:tc>
          <w:tcPr>
            <w:tcW w:w="1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3E6B5F" w:rsidRPr="00733ED9" w:rsidRDefault="00497AA3" w:rsidP="003B4B95">
            <w:pPr>
              <w:spacing w:before="120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  <w:lang w:val="en-CA"/>
              </w:rPr>
              <w:t>08h30-11h2</w:t>
            </w:r>
            <w:r w:rsidR="003E6B5F"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  <w:lang w:val="en-CA"/>
              </w:rPr>
              <w:t xml:space="preserve">0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927" w:rsidRPr="008E04E2" w:rsidRDefault="00A4672F" w:rsidP="00A4672F">
            <w:pPr>
              <w:rPr>
                <w:rFonts w:asciiTheme="minorHAnsi" w:hAnsiTheme="minorHAnsi" w:cs="Utsaah"/>
                <w:b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CSO-1012</w:t>
            </w:r>
            <w:r w:rsidR="00637C77" w:rsidRPr="008E04E2">
              <w:rPr>
                <w:rFonts w:asciiTheme="minorHAnsi" w:hAnsiTheme="minorHAnsi" w:cs="Utsaah"/>
                <w:b/>
                <w:sz w:val="20"/>
              </w:rPr>
              <w:t xml:space="preserve"> D</w:t>
            </w:r>
            <w:r w:rsidR="00CB5ED2">
              <w:rPr>
                <w:rFonts w:asciiTheme="minorHAnsi" w:hAnsiTheme="minorHAnsi" w:cs="Utsaah"/>
                <w:b/>
                <w:sz w:val="20"/>
              </w:rPr>
              <w:t xml:space="preserve"> (2)</w:t>
            </w:r>
          </w:p>
          <w:p w:rsidR="00A4672F" w:rsidRPr="00A4672F" w:rsidRDefault="00A4672F" w:rsidP="00A4672F">
            <w:pPr>
              <w:rPr>
                <w:rFonts w:asciiTheme="minorHAnsi" w:hAnsiTheme="minorHAnsi" w:cs="Utsaah"/>
                <w:sz w:val="20"/>
              </w:rPr>
            </w:pPr>
            <w:r w:rsidRPr="00A4672F">
              <w:rPr>
                <w:rFonts w:asciiTheme="minorHAnsi" w:hAnsiTheme="minorHAnsi" w:cs="Utsaah"/>
                <w:sz w:val="20"/>
              </w:rPr>
              <w:t>Développement des co</w:t>
            </w:r>
            <w:r>
              <w:rPr>
                <w:rFonts w:asciiTheme="minorHAnsi" w:hAnsiTheme="minorHAnsi" w:cs="Utsaah"/>
                <w:sz w:val="20"/>
              </w:rPr>
              <w:t xml:space="preserve">mpétences relationnelles </w:t>
            </w:r>
          </w:p>
          <w:p w:rsidR="00A4672F" w:rsidRPr="00A4672F" w:rsidRDefault="00637C77" w:rsidP="00A4672F">
            <w:pPr>
              <w:rPr>
                <w:rFonts w:asciiTheme="minorHAnsi" w:hAnsiTheme="minorHAnsi" w:cs="Utsaah"/>
                <w:sz w:val="20"/>
                <w:highlight w:val="yellow"/>
              </w:rPr>
            </w:pPr>
            <w:r>
              <w:rPr>
                <w:rFonts w:asciiTheme="minorHAnsi" w:hAnsiTheme="minorHAnsi" w:cs="Utsaah"/>
                <w:sz w:val="20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ED" w:rsidRPr="008E04E2" w:rsidRDefault="001E2628" w:rsidP="00A4672F">
            <w:pPr>
              <w:rPr>
                <w:rFonts w:asciiTheme="minorHAnsi" w:hAnsiTheme="minorHAnsi" w:cs="Utsaah"/>
                <w:b/>
                <w:i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PSE-1000</w:t>
            </w:r>
            <w:r w:rsidR="00E70E6D" w:rsidRPr="008E04E2">
              <w:rPr>
                <w:rFonts w:asciiTheme="minorHAnsi" w:hAnsiTheme="minorHAnsi" w:cs="Utsaah"/>
                <w:b/>
                <w:sz w:val="20"/>
              </w:rPr>
              <w:t xml:space="preserve"> </w:t>
            </w:r>
            <w:r w:rsidRPr="008E04E2">
              <w:rPr>
                <w:rFonts w:asciiTheme="minorHAnsi" w:hAnsiTheme="minorHAnsi" w:cs="Utsaah"/>
                <w:b/>
                <w:sz w:val="20"/>
              </w:rPr>
              <w:t xml:space="preserve">A </w:t>
            </w:r>
            <w:r w:rsidRPr="008E04E2">
              <w:rPr>
                <w:rFonts w:asciiTheme="minorHAnsi" w:hAnsiTheme="minorHAnsi" w:cs="Utsaah"/>
                <w:b/>
                <w:i/>
                <w:sz w:val="20"/>
              </w:rPr>
              <w:t xml:space="preserve"> </w:t>
            </w:r>
            <w:r w:rsidR="00CB5ED2" w:rsidRPr="00CB5ED2">
              <w:rPr>
                <w:rFonts w:asciiTheme="minorHAnsi" w:hAnsiTheme="minorHAnsi" w:cs="Utsaah"/>
                <w:b/>
                <w:sz w:val="20"/>
              </w:rPr>
              <w:t>(1)</w:t>
            </w:r>
          </w:p>
          <w:p w:rsidR="001E2628" w:rsidRPr="00A4672F" w:rsidRDefault="001E2628" w:rsidP="00A4672F">
            <w:pPr>
              <w:rPr>
                <w:rFonts w:asciiTheme="minorHAnsi" w:hAnsiTheme="minorHAnsi" w:cs="Utsaah"/>
                <w:sz w:val="20"/>
              </w:rPr>
            </w:pPr>
            <w:r w:rsidRPr="00A4672F">
              <w:rPr>
                <w:rFonts w:asciiTheme="minorHAnsi" w:hAnsiTheme="minorHAnsi" w:cs="Utsaah"/>
                <w:sz w:val="20"/>
              </w:rPr>
              <w:t>Introduction à la psychoéducation</w:t>
            </w:r>
          </w:p>
          <w:p w:rsidR="00992CD5" w:rsidRPr="00A4672F" w:rsidRDefault="00637C77" w:rsidP="00A4672F">
            <w:pPr>
              <w:rPr>
                <w:rFonts w:asciiTheme="minorHAnsi" w:hAnsiTheme="minorHAnsi" w:cs="Utsaah"/>
                <w:sz w:val="20"/>
              </w:rPr>
            </w:pPr>
            <w:r>
              <w:rPr>
                <w:rFonts w:asciiTheme="minorHAnsi" w:hAnsiTheme="minorHAnsi" w:cs="Utsaah"/>
                <w:sz w:val="20"/>
              </w:rPr>
              <w:t xml:space="preserve"> </w:t>
            </w:r>
            <w:r w:rsidR="001E2628" w:rsidRPr="00A4672F">
              <w:rPr>
                <w:rFonts w:asciiTheme="minorHAnsi" w:hAnsiTheme="minorHAnsi" w:cs="Utsaah"/>
                <w:sz w:val="20"/>
              </w:rPr>
              <w:br/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ED" w:rsidRPr="008E04E2" w:rsidRDefault="00062520" w:rsidP="00A4672F">
            <w:pPr>
              <w:rPr>
                <w:rFonts w:asciiTheme="minorHAnsi" w:hAnsiTheme="minorHAnsi" w:cs="Utsaah"/>
                <w:b/>
                <w:i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PSE-1007</w:t>
            </w:r>
            <w:r w:rsidR="00546E30" w:rsidRPr="008E04E2">
              <w:rPr>
                <w:rFonts w:asciiTheme="minorHAnsi" w:hAnsiTheme="minorHAnsi" w:cs="Utsaah"/>
                <w:b/>
                <w:sz w:val="20"/>
              </w:rPr>
              <w:t xml:space="preserve"> </w:t>
            </w:r>
            <w:r w:rsidR="003407ED" w:rsidRPr="008E04E2">
              <w:rPr>
                <w:rFonts w:asciiTheme="minorHAnsi" w:hAnsiTheme="minorHAnsi" w:cs="Utsaah"/>
                <w:b/>
                <w:sz w:val="20"/>
              </w:rPr>
              <w:t>A</w:t>
            </w:r>
            <w:r w:rsidRPr="008E04E2">
              <w:rPr>
                <w:rFonts w:asciiTheme="minorHAnsi" w:hAnsiTheme="minorHAnsi" w:cs="Utsaah"/>
                <w:b/>
                <w:i/>
                <w:sz w:val="20"/>
              </w:rPr>
              <w:t xml:space="preserve"> </w:t>
            </w:r>
            <w:r w:rsidR="00CB5ED2">
              <w:rPr>
                <w:rFonts w:asciiTheme="minorHAnsi" w:hAnsiTheme="minorHAnsi" w:cs="Utsaah"/>
                <w:b/>
                <w:i/>
                <w:sz w:val="20"/>
              </w:rPr>
              <w:t xml:space="preserve"> </w:t>
            </w:r>
            <w:r w:rsidR="00CB5ED2" w:rsidRPr="00CB5ED2">
              <w:rPr>
                <w:rFonts w:asciiTheme="minorHAnsi" w:hAnsiTheme="minorHAnsi" w:cs="Utsaah"/>
                <w:b/>
                <w:sz w:val="20"/>
              </w:rPr>
              <w:t>(1)</w:t>
            </w:r>
          </w:p>
          <w:p w:rsidR="00062520" w:rsidRPr="00A4672F" w:rsidRDefault="00062520" w:rsidP="00A4672F">
            <w:pPr>
              <w:rPr>
                <w:rFonts w:asciiTheme="minorHAnsi" w:hAnsiTheme="minorHAnsi" w:cs="Utsaah"/>
                <w:sz w:val="20"/>
              </w:rPr>
            </w:pPr>
            <w:r w:rsidRPr="00A4672F">
              <w:rPr>
                <w:rFonts w:asciiTheme="minorHAnsi" w:hAnsiTheme="minorHAnsi" w:cs="Utsaah"/>
                <w:sz w:val="20"/>
              </w:rPr>
              <w:t>Développement de l’enfant (0-12 ans)</w:t>
            </w:r>
          </w:p>
          <w:p w:rsidR="00062520" w:rsidRPr="00A4672F" w:rsidRDefault="00062520" w:rsidP="00A4672F">
            <w:pPr>
              <w:rPr>
                <w:rFonts w:asciiTheme="minorHAnsi" w:hAnsiTheme="minorHAnsi" w:cs="Utsaah"/>
                <w:sz w:val="20"/>
              </w:rPr>
            </w:pPr>
          </w:p>
          <w:p w:rsidR="00992CD5" w:rsidRPr="00A4672F" w:rsidRDefault="00992CD5" w:rsidP="00A4672F">
            <w:pPr>
              <w:rPr>
                <w:rFonts w:asciiTheme="minorHAnsi" w:hAnsiTheme="minorHAnsi" w:cs="Utsaah"/>
                <w:sz w:val="20"/>
                <w:lang w:val="fr-CA" w:eastAsia="fr-CA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5" w:rsidRPr="008E04E2" w:rsidRDefault="00FF5725" w:rsidP="00A4672F">
            <w:pPr>
              <w:rPr>
                <w:rFonts w:asciiTheme="minorHAnsi" w:hAnsiTheme="minorHAnsi" w:cs="Utsaah"/>
                <w:b/>
                <w:sz w:val="20"/>
                <w:lang w:val="fr-CA" w:eastAsia="fr-CA"/>
              </w:rPr>
            </w:pPr>
            <w:r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>PSE-2003</w:t>
            </w:r>
            <w:r w:rsidR="00637C77"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 A</w:t>
            </w:r>
            <w:r w:rsidR="00BC5D76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 (2 et 3)</w:t>
            </w:r>
          </w:p>
          <w:p w:rsidR="00FF5725" w:rsidRPr="00A4672F" w:rsidRDefault="00FF5725" w:rsidP="00A4672F">
            <w:pPr>
              <w:rPr>
                <w:rFonts w:asciiTheme="minorHAnsi" w:hAnsiTheme="minorHAnsi" w:cs="Utsaah"/>
                <w:sz w:val="20"/>
                <w:lang w:val="fr-CA" w:eastAsia="fr-CA"/>
              </w:rPr>
            </w:pPr>
            <w:r w:rsidRPr="00A4672F">
              <w:rPr>
                <w:rFonts w:asciiTheme="minorHAnsi" w:hAnsiTheme="minorHAnsi" w:cs="Utsaah"/>
                <w:sz w:val="20"/>
                <w:lang w:val="fr-CA" w:eastAsia="fr-CA"/>
              </w:rPr>
              <w:t>Élèves en difficulté de comportement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F5725" w:rsidRPr="008E04E2" w:rsidRDefault="00FF5725" w:rsidP="00A4672F">
            <w:pPr>
              <w:rPr>
                <w:rFonts w:asciiTheme="minorHAnsi" w:hAnsiTheme="minorHAnsi" w:cs="Utsaah"/>
                <w:b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PSE-3000</w:t>
            </w:r>
            <w:r w:rsidR="00637C77" w:rsidRPr="008E04E2">
              <w:rPr>
                <w:rFonts w:asciiTheme="minorHAnsi" w:hAnsiTheme="minorHAnsi" w:cs="Utsaah"/>
                <w:b/>
                <w:sz w:val="20"/>
              </w:rPr>
              <w:t xml:space="preserve"> B</w:t>
            </w:r>
            <w:r w:rsidR="00CB5ED2">
              <w:rPr>
                <w:rFonts w:asciiTheme="minorHAnsi" w:hAnsiTheme="minorHAnsi" w:cs="Utsaah"/>
                <w:b/>
                <w:sz w:val="20"/>
              </w:rPr>
              <w:t xml:space="preserve"> (3)</w:t>
            </w:r>
          </w:p>
          <w:p w:rsidR="00FF5725" w:rsidRPr="00A4672F" w:rsidRDefault="00FF5725" w:rsidP="00A4672F">
            <w:pPr>
              <w:rPr>
                <w:rFonts w:asciiTheme="minorHAnsi" w:hAnsiTheme="minorHAnsi" w:cs="Arial"/>
                <w:sz w:val="20"/>
              </w:rPr>
            </w:pPr>
            <w:r w:rsidRPr="00A4672F">
              <w:rPr>
                <w:rFonts w:asciiTheme="minorHAnsi" w:hAnsiTheme="minorHAnsi" w:cs="Arial"/>
                <w:sz w:val="20"/>
              </w:rPr>
              <w:t>Développement des habiletés en relation d’aide psychoéducative</w:t>
            </w:r>
          </w:p>
          <w:p w:rsidR="00FF5725" w:rsidRPr="00A4672F" w:rsidRDefault="00FF5725" w:rsidP="00A4672F">
            <w:pPr>
              <w:rPr>
                <w:rFonts w:asciiTheme="minorHAnsi" w:hAnsiTheme="minorHAnsi" w:cs="Arial"/>
                <w:sz w:val="20"/>
              </w:rPr>
            </w:pPr>
          </w:p>
          <w:p w:rsidR="00637C77" w:rsidRPr="008E04E2" w:rsidRDefault="00FF5725" w:rsidP="00A4672F">
            <w:pPr>
              <w:rPr>
                <w:rFonts w:asciiTheme="minorHAnsi" w:hAnsiTheme="minorHAnsi" w:cs="Utsaah"/>
                <w:b/>
                <w:sz w:val="20"/>
                <w:lang w:val="fr-CA"/>
              </w:rPr>
            </w:pPr>
            <w:r w:rsidRPr="008E04E2">
              <w:rPr>
                <w:rFonts w:asciiTheme="minorHAnsi" w:hAnsiTheme="minorHAnsi" w:cs="Utsaah"/>
                <w:b/>
                <w:sz w:val="20"/>
                <w:lang w:val="fr-CA"/>
              </w:rPr>
              <w:t xml:space="preserve">CSO-1012 E </w:t>
            </w:r>
            <w:r w:rsidR="00CB5ED2">
              <w:rPr>
                <w:rFonts w:asciiTheme="minorHAnsi" w:hAnsiTheme="minorHAnsi" w:cs="Utsaah"/>
                <w:b/>
                <w:sz w:val="20"/>
                <w:lang w:val="fr-CA"/>
              </w:rPr>
              <w:t>(2)</w:t>
            </w:r>
          </w:p>
          <w:p w:rsidR="00FF5725" w:rsidRPr="00A4672F" w:rsidRDefault="00FF5725" w:rsidP="00A4672F">
            <w:pPr>
              <w:rPr>
                <w:rFonts w:asciiTheme="minorHAnsi" w:hAnsiTheme="minorHAnsi" w:cs="Utsaah"/>
                <w:sz w:val="20"/>
                <w:lang w:val="fr-CA"/>
              </w:rPr>
            </w:pPr>
            <w:r w:rsidRPr="00A4672F">
              <w:rPr>
                <w:rFonts w:asciiTheme="minorHAnsi" w:hAnsiTheme="minorHAnsi" w:cs="Utsaah"/>
                <w:sz w:val="20"/>
                <w:lang w:val="fr-CA"/>
              </w:rPr>
              <w:t>Développement des compétences relationnelles I</w:t>
            </w:r>
          </w:p>
          <w:p w:rsidR="00437838" w:rsidRPr="00A4672F" w:rsidRDefault="00437838" w:rsidP="00A4672F">
            <w:pPr>
              <w:rPr>
                <w:rFonts w:asciiTheme="minorHAnsi" w:hAnsiTheme="minorHAnsi" w:cs="Utsaah"/>
                <w:sz w:val="20"/>
                <w:highlight w:val="yellow"/>
              </w:rPr>
            </w:pPr>
          </w:p>
        </w:tc>
      </w:tr>
      <w:tr w:rsidR="002D562D" w:rsidRPr="00FF5725" w:rsidTr="001A5F86">
        <w:trPr>
          <w:cantSplit/>
          <w:trHeight w:val="1482"/>
          <w:jc w:val="center"/>
        </w:trPr>
        <w:tc>
          <w:tcPr>
            <w:tcW w:w="1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2D562D" w:rsidRPr="00733ED9" w:rsidRDefault="002D562D" w:rsidP="002D562D">
            <w:pPr>
              <w:spacing w:before="120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</w:rPr>
              <w:t xml:space="preserve">12h30-15h20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  <w:highlight w:val="yellow"/>
                <w:lang w:val="fr-CA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ED" w:rsidRPr="008E04E2" w:rsidRDefault="002D562D" w:rsidP="00A4672F">
            <w:pPr>
              <w:rPr>
                <w:rFonts w:asciiTheme="minorHAnsi" w:hAnsiTheme="minorHAnsi" w:cs="Utsaah"/>
                <w:b/>
                <w:sz w:val="20"/>
                <w:lang w:val="fr-CA" w:eastAsia="fr-CA"/>
              </w:rPr>
            </w:pPr>
            <w:r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PSE-1001 </w:t>
            </w:r>
            <w:r w:rsidR="00637C77"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>A</w:t>
            </w:r>
            <w:r w:rsidR="00CB5ED2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 (1)</w:t>
            </w:r>
          </w:p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  <w:lang w:val="fr-CA" w:eastAsia="fr-CA"/>
              </w:rPr>
            </w:pPr>
            <w:r w:rsidRPr="00A4672F">
              <w:rPr>
                <w:rFonts w:asciiTheme="minorHAnsi" w:hAnsiTheme="minorHAnsi" w:cs="Utsaah"/>
                <w:sz w:val="20"/>
                <w:lang w:val="fr-CA" w:eastAsia="fr-CA"/>
              </w:rPr>
              <w:t>Cadres sociojuridiques en psychoéducation</w:t>
            </w:r>
            <w:r w:rsidR="006B2E2D" w:rsidRPr="00A4672F">
              <w:rPr>
                <w:rFonts w:asciiTheme="minorHAnsi" w:hAnsiTheme="minorHAnsi" w:cs="Utsaah"/>
                <w:sz w:val="20"/>
                <w:lang w:val="fr-CA" w:eastAsia="fr-CA"/>
              </w:rPr>
              <w:br/>
            </w:r>
            <w:r w:rsidR="00637C77">
              <w:rPr>
                <w:rFonts w:asciiTheme="minorHAnsi" w:hAnsiTheme="minorHAnsi" w:cs="Utsaah"/>
                <w:sz w:val="20"/>
                <w:lang w:val="fr-CA" w:eastAsia="fr-CA"/>
              </w:rPr>
              <w:t xml:space="preserve"> </w:t>
            </w:r>
          </w:p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76" w:rsidRPr="008E04E2" w:rsidRDefault="00BC5D76" w:rsidP="00BC5D76">
            <w:pPr>
              <w:rPr>
                <w:rFonts w:asciiTheme="minorHAnsi" w:hAnsiTheme="minorHAnsi" w:cs="Utsaah"/>
                <w:b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CSO-1102 A</w:t>
            </w:r>
            <w:r>
              <w:rPr>
                <w:rFonts w:asciiTheme="minorHAnsi" w:hAnsiTheme="minorHAnsi" w:cs="Utsaah"/>
                <w:b/>
                <w:sz w:val="20"/>
              </w:rPr>
              <w:t xml:space="preserve"> (1 et 2)</w:t>
            </w:r>
          </w:p>
          <w:p w:rsidR="00BC5D76" w:rsidRDefault="00BC5D76" w:rsidP="00BC5D76">
            <w:pPr>
              <w:rPr>
                <w:rFonts w:asciiTheme="minorHAnsi" w:hAnsiTheme="minorHAnsi" w:cs="Utsaah"/>
                <w:sz w:val="20"/>
              </w:rPr>
            </w:pPr>
            <w:r>
              <w:rPr>
                <w:rFonts w:asciiTheme="minorHAnsi" w:hAnsiTheme="minorHAnsi" w:cs="Utsaah"/>
                <w:sz w:val="20"/>
              </w:rPr>
              <w:t>Psychologie de l’adolescence</w:t>
            </w:r>
          </w:p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  <w:lang w:val="fr-CA" w:eastAsia="fr-CA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25" w:rsidRPr="008E04E2" w:rsidRDefault="00FF5725" w:rsidP="00A4672F">
            <w:pPr>
              <w:rPr>
                <w:rFonts w:asciiTheme="minorHAnsi" w:hAnsiTheme="minorHAnsi"/>
                <w:b/>
                <w:sz w:val="20"/>
                <w:lang w:val="fr-CA"/>
              </w:rPr>
            </w:pPr>
            <w:r w:rsidRPr="008E04E2">
              <w:rPr>
                <w:rFonts w:asciiTheme="minorHAnsi" w:hAnsiTheme="minorHAnsi"/>
                <w:b/>
                <w:sz w:val="20"/>
                <w:lang w:val="fr-CA"/>
              </w:rPr>
              <w:t>PSE-2001</w:t>
            </w:r>
            <w:r w:rsidR="00637C77" w:rsidRPr="008E04E2">
              <w:rPr>
                <w:rFonts w:asciiTheme="minorHAnsi" w:hAnsiTheme="minorHAnsi"/>
                <w:b/>
                <w:sz w:val="20"/>
                <w:lang w:val="fr-CA"/>
              </w:rPr>
              <w:t xml:space="preserve"> A</w:t>
            </w:r>
            <w:r w:rsidR="00CB5ED2">
              <w:rPr>
                <w:rFonts w:asciiTheme="minorHAnsi" w:hAnsiTheme="minorHAnsi"/>
                <w:b/>
                <w:sz w:val="20"/>
                <w:lang w:val="fr-CA"/>
              </w:rPr>
              <w:t xml:space="preserve"> (2)</w:t>
            </w:r>
          </w:p>
          <w:p w:rsidR="00FF5725" w:rsidRPr="00A4672F" w:rsidRDefault="00FF5725" w:rsidP="00A4672F">
            <w:pPr>
              <w:rPr>
                <w:rFonts w:asciiTheme="minorHAnsi" w:hAnsiTheme="minorHAnsi"/>
                <w:sz w:val="20"/>
                <w:lang w:val="fr-CA"/>
              </w:rPr>
            </w:pPr>
            <w:r w:rsidRPr="00A4672F">
              <w:rPr>
                <w:rFonts w:asciiTheme="minorHAnsi" w:hAnsiTheme="minorHAnsi"/>
                <w:sz w:val="20"/>
                <w:lang w:val="fr-CA"/>
              </w:rPr>
              <w:t xml:space="preserve">Planification et organisation en </w:t>
            </w:r>
            <w:r w:rsidR="00935BDE">
              <w:rPr>
                <w:rFonts w:asciiTheme="minorHAnsi" w:hAnsiTheme="minorHAnsi"/>
                <w:sz w:val="20"/>
                <w:lang w:val="fr-CA"/>
              </w:rPr>
              <w:t>psychoé</w:t>
            </w:r>
            <w:r w:rsidRPr="00A4672F">
              <w:rPr>
                <w:rFonts w:asciiTheme="minorHAnsi" w:hAnsiTheme="minorHAnsi"/>
                <w:sz w:val="20"/>
                <w:lang w:val="fr-CA"/>
              </w:rPr>
              <w:t>ducation</w:t>
            </w:r>
          </w:p>
          <w:p w:rsidR="00FF5725" w:rsidRPr="00A4672F" w:rsidRDefault="00FF5725" w:rsidP="00A4672F">
            <w:pPr>
              <w:rPr>
                <w:rFonts w:asciiTheme="minorHAnsi" w:hAnsiTheme="minorHAnsi" w:cs="Utsaah"/>
                <w:sz w:val="20"/>
              </w:rPr>
            </w:pPr>
          </w:p>
          <w:p w:rsidR="00FF5725" w:rsidRPr="008E04E2" w:rsidRDefault="00FF5725" w:rsidP="00A4672F">
            <w:pPr>
              <w:rPr>
                <w:rFonts w:asciiTheme="minorHAnsi" w:hAnsiTheme="minorHAnsi" w:cs="Utsaah"/>
                <w:b/>
                <w:sz w:val="20"/>
              </w:rPr>
            </w:pPr>
            <w:r w:rsidRPr="008E04E2">
              <w:rPr>
                <w:rFonts w:asciiTheme="minorHAnsi" w:hAnsiTheme="minorHAnsi" w:cs="Utsaah"/>
                <w:b/>
                <w:sz w:val="20"/>
              </w:rPr>
              <w:t>PSE-3000</w:t>
            </w:r>
            <w:r w:rsidR="00637C77" w:rsidRPr="008E04E2">
              <w:rPr>
                <w:rFonts w:asciiTheme="minorHAnsi" w:hAnsiTheme="minorHAnsi" w:cs="Utsaah"/>
                <w:b/>
                <w:sz w:val="20"/>
              </w:rPr>
              <w:t xml:space="preserve"> A</w:t>
            </w:r>
            <w:r w:rsidR="00CB5ED2">
              <w:rPr>
                <w:rFonts w:asciiTheme="minorHAnsi" w:hAnsiTheme="minorHAnsi" w:cs="Utsaah"/>
                <w:b/>
                <w:sz w:val="20"/>
              </w:rPr>
              <w:t xml:space="preserve"> (3)</w:t>
            </w:r>
          </w:p>
          <w:p w:rsidR="002D562D" w:rsidRDefault="00FF5725" w:rsidP="00A4672F">
            <w:pPr>
              <w:rPr>
                <w:rFonts w:asciiTheme="minorHAnsi" w:hAnsiTheme="minorHAnsi" w:cs="Arial"/>
                <w:sz w:val="20"/>
              </w:rPr>
            </w:pPr>
            <w:r w:rsidRPr="00A4672F">
              <w:rPr>
                <w:rFonts w:asciiTheme="minorHAnsi" w:hAnsiTheme="minorHAnsi" w:cs="Arial"/>
                <w:sz w:val="20"/>
              </w:rPr>
              <w:t>Développement des habiletés en relation d’aide psychoéducative</w:t>
            </w:r>
          </w:p>
          <w:p w:rsidR="008E04E2" w:rsidRPr="00637C77" w:rsidRDefault="008E04E2" w:rsidP="00A4672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7C77" w:rsidRPr="008E04E2" w:rsidRDefault="00FF5725" w:rsidP="00A4672F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 w:rsidRPr="008E04E2">
              <w:rPr>
                <w:rFonts w:asciiTheme="minorHAnsi" w:hAnsiTheme="minorHAnsi"/>
                <w:b/>
                <w:sz w:val="20"/>
                <w:lang w:val="en-CA"/>
              </w:rPr>
              <w:t>PSE-3500</w:t>
            </w:r>
            <w:r w:rsidR="008E04E2">
              <w:rPr>
                <w:rFonts w:asciiTheme="minorHAnsi" w:hAnsiTheme="minorHAnsi"/>
                <w:b/>
                <w:sz w:val="20"/>
                <w:lang w:val="en-CA"/>
              </w:rPr>
              <w:t xml:space="preserve">  </w:t>
            </w:r>
            <w:r w:rsidRPr="00A64EFF">
              <w:rPr>
                <w:rFonts w:asciiTheme="minorHAnsi" w:hAnsiTheme="minorHAnsi"/>
                <w:sz w:val="20"/>
                <w:lang w:val="en-CA"/>
              </w:rPr>
              <w:t>Stages I</w:t>
            </w:r>
            <w:r w:rsidR="00CB5ED2">
              <w:rPr>
                <w:rFonts w:asciiTheme="minorHAnsi" w:hAnsiTheme="minorHAnsi"/>
                <w:sz w:val="20"/>
                <w:lang w:val="en-CA"/>
              </w:rPr>
              <w:t xml:space="preserve"> </w:t>
            </w:r>
            <w:r w:rsidR="00CB5ED2" w:rsidRPr="00CB5ED2">
              <w:rPr>
                <w:rFonts w:asciiTheme="minorHAnsi" w:hAnsiTheme="minorHAnsi"/>
                <w:b/>
                <w:sz w:val="20"/>
                <w:lang w:val="en-CA"/>
              </w:rPr>
              <w:t>(3)</w:t>
            </w:r>
          </w:p>
          <w:p w:rsidR="00637C77" w:rsidRPr="008E04E2" w:rsidRDefault="00F064D5" w:rsidP="00A4672F">
            <w:pPr>
              <w:rPr>
                <w:rFonts w:asciiTheme="minorHAnsi" w:hAnsiTheme="minorHAnsi"/>
                <w:b/>
                <w:sz w:val="20"/>
                <w:lang w:val="en-CA"/>
              </w:rPr>
            </w:pPr>
            <w:r>
              <w:rPr>
                <w:rFonts w:asciiTheme="minorHAnsi" w:hAnsiTheme="minorHAnsi"/>
                <w:b/>
                <w:sz w:val="20"/>
                <w:lang w:val="en-CA"/>
              </w:rPr>
              <w:t>Sections</w:t>
            </w:r>
            <w:r w:rsidR="002606A9">
              <w:rPr>
                <w:rFonts w:asciiTheme="minorHAnsi" w:hAnsiTheme="minorHAnsi"/>
                <w:b/>
                <w:sz w:val="20"/>
                <w:lang w:val="en-CA"/>
              </w:rPr>
              <w:t xml:space="preserve"> </w:t>
            </w:r>
            <w:r w:rsidR="00935BDE">
              <w:rPr>
                <w:rFonts w:asciiTheme="minorHAnsi" w:hAnsiTheme="minorHAnsi"/>
                <w:b/>
                <w:sz w:val="20"/>
                <w:lang w:val="en-CA"/>
              </w:rPr>
              <w:t>:</w:t>
            </w:r>
            <w:r w:rsidR="007D360C">
              <w:rPr>
                <w:rFonts w:asciiTheme="minorHAnsi" w:hAnsiTheme="minorHAnsi"/>
                <w:b/>
                <w:sz w:val="20"/>
                <w:lang w:val="en-CA"/>
              </w:rPr>
              <w:t xml:space="preserve"> A, B, C, </w:t>
            </w:r>
            <w:r w:rsidR="00D63B0D">
              <w:rPr>
                <w:rFonts w:asciiTheme="minorHAnsi" w:hAnsiTheme="minorHAnsi"/>
                <w:b/>
                <w:sz w:val="20"/>
                <w:lang w:val="en-CA"/>
              </w:rPr>
              <w:t xml:space="preserve">G, </w:t>
            </w:r>
            <w:r w:rsidR="007D360C">
              <w:rPr>
                <w:rFonts w:asciiTheme="minorHAnsi" w:hAnsiTheme="minorHAnsi"/>
                <w:b/>
                <w:sz w:val="20"/>
                <w:lang w:val="en-CA"/>
              </w:rPr>
              <w:t>H</w:t>
            </w:r>
          </w:p>
          <w:p w:rsidR="002D562D" w:rsidRPr="00A4672F" w:rsidRDefault="00FF5725" w:rsidP="00A4672F">
            <w:pPr>
              <w:rPr>
                <w:rFonts w:asciiTheme="minorHAnsi" w:hAnsiTheme="minorHAnsi" w:cs="Utsaah"/>
                <w:sz w:val="20"/>
                <w:highlight w:val="yellow"/>
                <w:lang w:val="en-CA"/>
              </w:rPr>
            </w:pPr>
            <w:r w:rsidRPr="00A4672F">
              <w:rPr>
                <w:rFonts w:asciiTheme="minorHAnsi" w:hAnsiTheme="minorHAnsi"/>
                <w:sz w:val="20"/>
                <w:lang w:val="en-CA"/>
              </w:rPr>
              <w:br/>
            </w:r>
          </w:p>
        </w:tc>
      </w:tr>
      <w:tr w:rsidR="002D562D" w:rsidRPr="00971681" w:rsidTr="00BA6CE5">
        <w:trPr>
          <w:cantSplit/>
          <w:trHeight w:val="289"/>
          <w:jc w:val="center"/>
        </w:trPr>
        <w:tc>
          <w:tcPr>
            <w:tcW w:w="150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2D562D" w:rsidRPr="00733ED9" w:rsidRDefault="002D562D" w:rsidP="002D562D">
            <w:pPr>
              <w:spacing w:before="120"/>
              <w:rPr>
                <w:rFonts w:ascii="Utsaah" w:hAnsi="Utsaah" w:cs="Utsaah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733ED9">
              <w:rPr>
                <w:rFonts w:ascii="Utsaah" w:hAnsi="Utsaah" w:cs="Utsaah"/>
                <w:b/>
                <w:color w:val="FFFFFF" w:themeColor="background1"/>
                <w:sz w:val="22"/>
                <w:szCs w:val="22"/>
                <w:lang w:val="fr-CA"/>
              </w:rPr>
              <w:t>15h30-18h20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2D" w:rsidRPr="008E04E2" w:rsidRDefault="00546E30" w:rsidP="00A4672F">
            <w:pPr>
              <w:tabs>
                <w:tab w:val="left" w:pos="3240"/>
                <w:tab w:val="left" w:pos="9180"/>
              </w:tabs>
              <w:rPr>
                <w:rFonts w:asciiTheme="minorHAnsi" w:hAnsiTheme="minorHAnsi" w:cs="Utsaah"/>
                <w:b/>
                <w:sz w:val="20"/>
                <w:lang w:val="fr-CA" w:eastAsia="fr-CA"/>
              </w:rPr>
            </w:pPr>
            <w:r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>MEV</w:t>
            </w:r>
            <w:r w:rsidR="002606A9">
              <w:rPr>
                <w:rFonts w:asciiTheme="minorHAnsi" w:hAnsiTheme="minorHAnsi" w:cs="Utsaah"/>
                <w:b/>
                <w:sz w:val="20"/>
                <w:lang w:val="fr-CA" w:eastAsia="fr-CA"/>
              </w:rPr>
              <w:t>-</w:t>
            </w:r>
            <w:r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1903 </w:t>
            </w:r>
            <w:r w:rsidR="00637C77" w:rsidRPr="008E04E2">
              <w:rPr>
                <w:rFonts w:asciiTheme="minorHAnsi" w:hAnsiTheme="minorHAnsi" w:cs="Utsaah"/>
                <w:b/>
                <w:sz w:val="20"/>
                <w:lang w:val="fr-CA" w:eastAsia="fr-CA"/>
              </w:rPr>
              <w:t>A</w:t>
            </w:r>
            <w:r w:rsidR="00CB5ED2">
              <w:rPr>
                <w:rFonts w:asciiTheme="minorHAnsi" w:hAnsiTheme="minorHAnsi" w:cs="Utsaah"/>
                <w:b/>
                <w:sz w:val="20"/>
                <w:lang w:val="fr-CA" w:eastAsia="fr-CA"/>
              </w:rPr>
              <w:t xml:space="preserve"> (1)</w:t>
            </w:r>
          </w:p>
          <w:p w:rsidR="002D562D" w:rsidRPr="00637C77" w:rsidRDefault="002D562D" w:rsidP="00A4672F">
            <w:pPr>
              <w:tabs>
                <w:tab w:val="left" w:pos="3240"/>
                <w:tab w:val="left" w:pos="9180"/>
              </w:tabs>
              <w:rPr>
                <w:rFonts w:asciiTheme="minorHAnsi" w:hAnsiTheme="minorHAnsi" w:cs="Utsaah"/>
                <w:sz w:val="20"/>
                <w:lang w:val="fr-CA" w:eastAsia="fr-CA"/>
              </w:rPr>
            </w:pPr>
            <w:r w:rsidRPr="00A4672F">
              <w:rPr>
                <w:rFonts w:asciiTheme="minorHAnsi" w:hAnsiTheme="minorHAnsi" w:cs="Utsaah"/>
                <w:sz w:val="20"/>
                <w:lang w:val="fr-CA" w:eastAsia="fr-CA"/>
              </w:rPr>
              <w:t>Méthodologie de la recherche</w:t>
            </w:r>
            <w:r w:rsidRPr="00A4672F">
              <w:rPr>
                <w:rFonts w:asciiTheme="minorHAnsi" w:hAnsiTheme="minorHAnsi" w:cs="Utsaah"/>
                <w:sz w:val="20"/>
                <w:lang w:val="fr-CA" w:eastAsia="fr-CA"/>
              </w:rPr>
              <w:br/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2D" w:rsidRPr="00A4672F" w:rsidRDefault="002D562D" w:rsidP="00A4672F">
            <w:pPr>
              <w:rPr>
                <w:rFonts w:asciiTheme="minorHAnsi" w:hAnsiTheme="minorHAnsi" w:cs="Utsaah"/>
                <w:strike/>
                <w:sz w:val="20"/>
                <w:lang w:val="fr-CA" w:eastAsia="fr-CA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  <w:lang w:val="fr-CA" w:eastAsia="fr-CA"/>
              </w:rPr>
            </w:pPr>
          </w:p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F5725" w:rsidRPr="008E04E2" w:rsidRDefault="00FF5725" w:rsidP="00A4672F">
            <w:pPr>
              <w:rPr>
                <w:rFonts w:asciiTheme="minorHAnsi" w:hAnsiTheme="minorHAnsi"/>
                <w:b/>
                <w:sz w:val="20"/>
                <w:lang w:val="fr-CA"/>
              </w:rPr>
            </w:pPr>
            <w:r w:rsidRPr="008E04E2">
              <w:rPr>
                <w:rFonts w:asciiTheme="minorHAnsi" w:hAnsiTheme="minorHAnsi"/>
                <w:b/>
                <w:sz w:val="20"/>
                <w:lang w:val="fr-CA"/>
              </w:rPr>
              <w:t>De 16h30 à 19h20</w:t>
            </w:r>
            <w:r w:rsidR="00CB5ED2">
              <w:rPr>
                <w:rFonts w:asciiTheme="minorHAnsi" w:hAnsiTheme="minorHAnsi"/>
                <w:b/>
                <w:sz w:val="20"/>
                <w:lang w:val="fr-CA"/>
              </w:rPr>
              <w:t xml:space="preserve"> (3)</w:t>
            </w:r>
          </w:p>
          <w:p w:rsidR="00637C77" w:rsidRPr="008E04E2" w:rsidRDefault="00FF5725" w:rsidP="00A4672F">
            <w:pPr>
              <w:rPr>
                <w:rFonts w:asciiTheme="minorHAnsi" w:hAnsiTheme="minorHAnsi"/>
                <w:sz w:val="20"/>
                <w:lang w:val="fr-CA"/>
              </w:rPr>
            </w:pPr>
            <w:r w:rsidRPr="008E04E2">
              <w:rPr>
                <w:rFonts w:asciiTheme="minorHAnsi" w:hAnsiTheme="minorHAnsi"/>
                <w:b/>
                <w:sz w:val="20"/>
                <w:lang w:val="fr-CA"/>
              </w:rPr>
              <w:t>PSE-3500</w:t>
            </w:r>
            <w:r w:rsidRPr="008E04E2">
              <w:rPr>
                <w:rFonts w:asciiTheme="minorHAnsi" w:hAnsiTheme="minorHAnsi"/>
                <w:sz w:val="20"/>
                <w:lang w:val="fr-CA"/>
              </w:rPr>
              <w:t xml:space="preserve"> </w:t>
            </w:r>
            <w:r w:rsidRPr="00A64EFF">
              <w:rPr>
                <w:rFonts w:asciiTheme="minorHAnsi" w:hAnsiTheme="minorHAnsi"/>
                <w:sz w:val="20"/>
                <w:lang w:val="fr-CA"/>
              </w:rPr>
              <w:t>Stages I</w:t>
            </w:r>
          </w:p>
          <w:p w:rsidR="007D360C" w:rsidRPr="007D360C" w:rsidRDefault="00F064D5" w:rsidP="007D360C">
            <w:pPr>
              <w:rPr>
                <w:rFonts w:asciiTheme="minorHAnsi" w:hAnsiTheme="minorHAnsi"/>
                <w:b/>
                <w:sz w:val="20"/>
                <w:lang w:val="fr-CA"/>
              </w:rPr>
            </w:pPr>
            <w:r>
              <w:rPr>
                <w:rFonts w:asciiTheme="minorHAnsi" w:hAnsiTheme="minorHAnsi"/>
                <w:b/>
                <w:sz w:val="20"/>
                <w:lang w:val="fr-CA"/>
              </w:rPr>
              <w:t>Sections</w:t>
            </w:r>
            <w:bookmarkStart w:id="0" w:name="_GoBack"/>
            <w:bookmarkEnd w:id="0"/>
            <w:r w:rsidR="00637C77" w:rsidRPr="008E04E2">
              <w:rPr>
                <w:rFonts w:asciiTheme="minorHAnsi" w:hAnsiTheme="minorHAnsi"/>
                <w:b/>
                <w:sz w:val="20"/>
                <w:lang w:val="fr-CA"/>
              </w:rPr>
              <w:t>:</w:t>
            </w:r>
            <w:r w:rsidR="00D63B0D">
              <w:rPr>
                <w:rFonts w:asciiTheme="minorHAnsi" w:hAnsiTheme="minorHAnsi"/>
                <w:b/>
                <w:sz w:val="20"/>
                <w:lang w:val="fr-CA"/>
              </w:rPr>
              <w:t xml:space="preserve"> D, E, F,</w:t>
            </w:r>
            <w:r w:rsidR="00D75E14">
              <w:rPr>
                <w:rFonts w:asciiTheme="minorHAnsi" w:hAnsiTheme="minorHAnsi"/>
                <w:b/>
                <w:sz w:val="20"/>
                <w:lang w:val="fr-CA"/>
              </w:rPr>
              <w:t xml:space="preserve"> I</w:t>
            </w:r>
          </w:p>
          <w:p w:rsidR="002D562D" w:rsidRPr="00A4672F" w:rsidRDefault="002D562D" w:rsidP="00A4672F">
            <w:pPr>
              <w:rPr>
                <w:rFonts w:asciiTheme="minorHAnsi" w:hAnsiTheme="minorHAnsi" w:cs="Utsaah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562D" w:rsidRPr="00A4672F" w:rsidRDefault="002D562D" w:rsidP="00A4672F">
            <w:pPr>
              <w:rPr>
                <w:rFonts w:asciiTheme="minorHAnsi" w:hAnsiTheme="minorHAnsi" w:cs="Utsaah"/>
                <w:color w:val="FF0000"/>
                <w:sz w:val="20"/>
                <w:lang w:val="fr-CA" w:eastAsia="fr-CA"/>
              </w:rPr>
            </w:pPr>
          </w:p>
        </w:tc>
      </w:tr>
      <w:tr w:rsidR="00BA6CE5" w:rsidRPr="00944163" w:rsidTr="00BA6CE5">
        <w:trPr>
          <w:cantSplit/>
          <w:tblHeader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31849B" w:themeFill="accent5" w:themeFillShade="BF"/>
          </w:tcPr>
          <w:p w:rsidR="00BA6CE5" w:rsidRPr="00BA6CE5" w:rsidRDefault="00BA6CE5" w:rsidP="000C4B0B">
            <w:pPr>
              <w:spacing w:before="80" w:after="80"/>
              <w:jc w:val="center"/>
              <w:rPr>
                <w:rFonts w:ascii="Utsaah" w:hAnsi="Utsaah" w:cs="Utsaah"/>
                <w:b/>
                <w:color w:val="FFFFFF" w:themeColor="background1"/>
                <w:sz w:val="28"/>
                <w:szCs w:val="28"/>
              </w:rPr>
            </w:pPr>
            <w:r w:rsidRPr="00BA6CE5">
              <w:rPr>
                <w:rFonts w:ascii="Utsaah" w:hAnsi="Utsaah" w:cs="Utsaah"/>
                <w:b/>
                <w:color w:val="FFFFFF" w:themeColor="background1"/>
                <w:sz w:val="28"/>
                <w:szCs w:val="28"/>
              </w:rPr>
              <w:t>A distance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CE5" w:rsidRDefault="00BA6CE5" w:rsidP="00BA6CE5">
            <w:pPr>
              <w:tabs>
                <w:tab w:val="left" w:pos="709"/>
              </w:tabs>
              <w:spacing w:before="80"/>
              <w:rPr>
                <w:rFonts w:ascii="Utsaah" w:hAnsi="Utsaah" w:cs="Utsaah"/>
                <w:szCs w:val="24"/>
              </w:rPr>
            </w:pPr>
            <w:r w:rsidRPr="008E04E2">
              <w:rPr>
                <w:rFonts w:ascii="Utsaah" w:hAnsi="Utsaah" w:cs="Utsaah"/>
                <w:b/>
                <w:szCs w:val="24"/>
              </w:rPr>
              <w:t>CSO-1005</w:t>
            </w:r>
            <w:r>
              <w:rPr>
                <w:rFonts w:ascii="Utsaah" w:hAnsi="Utsaah" w:cs="Utsaah"/>
                <w:szCs w:val="24"/>
              </w:rPr>
              <w:t xml:space="preserve"> Théories de la personnalité (Z1)</w:t>
            </w:r>
            <w:r w:rsidR="00CB5ED2">
              <w:rPr>
                <w:rFonts w:ascii="Utsaah" w:hAnsi="Utsaah" w:cs="Utsaah"/>
                <w:szCs w:val="24"/>
              </w:rPr>
              <w:t xml:space="preserve"> </w:t>
            </w:r>
            <w:r w:rsidR="00CB5ED2" w:rsidRPr="00CB5ED2">
              <w:rPr>
                <w:rFonts w:ascii="Utsaah" w:hAnsi="Utsaah" w:cs="Utsaah"/>
                <w:b/>
                <w:szCs w:val="24"/>
              </w:rPr>
              <w:t>(2)</w:t>
            </w:r>
          </w:p>
          <w:p w:rsidR="00D75E14" w:rsidRPr="00BA6CE5" w:rsidRDefault="00D75E14" w:rsidP="00BA6CE5">
            <w:pPr>
              <w:tabs>
                <w:tab w:val="left" w:pos="709"/>
              </w:tabs>
              <w:spacing w:before="80"/>
              <w:rPr>
                <w:rFonts w:ascii="Utsaah" w:hAnsi="Utsaah" w:cs="Utsaah"/>
                <w:szCs w:val="24"/>
              </w:rPr>
            </w:pPr>
            <w:r>
              <w:rPr>
                <w:rFonts w:ascii="Utsaah" w:hAnsi="Utsaah" w:cs="Utsaah"/>
                <w:szCs w:val="24"/>
              </w:rPr>
              <w:t>PSE-2101 Intervention en déficience intellectuelle (Z1)</w:t>
            </w:r>
            <w:r w:rsidR="00622758">
              <w:rPr>
                <w:rFonts w:ascii="Utsaah" w:hAnsi="Utsaah" w:cs="Utsaah"/>
                <w:szCs w:val="24"/>
              </w:rPr>
              <w:t xml:space="preserve"> </w:t>
            </w:r>
            <w:r w:rsidR="00622758" w:rsidRPr="00622758">
              <w:rPr>
                <w:rFonts w:ascii="Utsaah" w:hAnsi="Utsaah" w:cs="Utsaah"/>
                <w:b/>
                <w:szCs w:val="24"/>
              </w:rPr>
              <w:t>(</w:t>
            </w:r>
            <w:r w:rsidR="00BC5D76" w:rsidRPr="00622758">
              <w:rPr>
                <w:rFonts w:ascii="Utsaah" w:hAnsi="Utsaah" w:cs="Utsaah"/>
                <w:b/>
                <w:szCs w:val="24"/>
              </w:rPr>
              <w:t>2 et 3)</w:t>
            </w:r>
          </w:p>
        </w:tc>
        <w:tc>
          <w:tcPr>
            <w:tcW w:w="2418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A6CE5" w:rsidRPr="00944163" w:rsidRDefault="00BA6CE5" w:rsidP="000C4B0B">
            <w:pPr>
              <w:spacing w:before="80" w:after="80"/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6CE5" w:rsidRPr="00944163" w:rsidRDefault="00BA6CE5" w:rsidP="000C4B0B">
            <w:pPr>
              <w:spacing w:before="80" w:after="80"/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</w:tbl>
    <w:p w:rsidR="00637C77" w:rsidRDefault="00637C77" w:rsidP="00725254">
      <w:pPr>
        <w:rPr>
          <w:rFonts w:ascii="Utsaah" w:hAnsi="Utsaah" w:cs="Utsaah"/>
          <w:b/>
          <w:szCs w:val="24"/>
        </w:rPr>
      </w:pPr>
    </w:p>
    <w:p w:rsidR="00C56E3F" w:rsidRPr="002606A9" w:rsidRDefault="00C56E3F" w:rsidP="00C56E3F">
      <w:pPr>
        <w:spacing w:before="60"/>
        <w:ind w:firstLine="709"/>
        <w:rPr>
          <w:rFonts w:ascii="Utsaah" w:hAnsi="Utsaah" w:cs="Utsaah"/>
          <w:sz w:val="28"/>
          <w:szCs w:val="28"/>
          <w:lang w:val="fr-CA"/>
        </w:rPr>
      </w:pPr>
      <w:r w:rsidRPr="002606A9">
        <w:rPr>
          <w:rFonts w:ascii="Utsaah" w:hAnsi="Utsaah" w:cs="Utsaah"/>
          <w:b/>
          <w:sz w:val="28"/>
          <w:szCs w:val="28"/>
          <w:lang w:val="fr-CA"/>
        </w:rPr>
        <w:t>Cours complémentaire de la règle 2</w:t>
      </w:r>
      <w:r w:rsidRPr="002606A9">
        <w:rPr>
          <w:rFonts w:ascii="Utsaah" w:hAnsi="Utsaah" w:cs="Utsaah"/>
          <w:sz w:val="28"/>
          <w:szCs w:val="28"/>
          <w:lang w:val="fr-CA"/>
        </w:rPr>
        <w:t xml:space="preserve"> (3 à 6 crédits) parmi:</w:t>
      </w:r>
    </w:p>
    <w:p w:rsidR="00C56E3F" w:rsidRPr="002606A9" w:rsidRDefault="00C56E3F" w:rsidP="00C56E3F">
      <w:pPr>
        <w:spacing w:before="60"/>
        <w:ind w:firstLine="709"/>
        <w:rPr>
          <w:rFonts w:ascii="Utsaah" w:hAnsi="Utsaah" w:cs="Utsaah"/>
          <w:sz w:val="28"/>
          <w:szCs w:val="28"/>
        </w:rPr>
      </w:pPr>
      <w:r w:rsidRPr="002606A9">
        <w:rPr>
          <w:rFonts w:ascii="Utsaah" w:hAnsi="Utsaah" w:cs="Utsaah"/>
          <w:b/>
          <w:sz w:val="28"/>
          <w:szCs w:val="28"/>
          <w:lang w:val="fr-CA"/>
        </w:rPr>
        <w:t>PSE-</w:t>
      </w:r>
      <w:r w:rsidRPr="002606A9">
        <w:rPr>
          <w:rFonts w:ascii="Utsaah" w:hAnsi="Utsaah" w:cs="Utsaah"/>
          <w:b/>
          <w:sz w:val="28"/>
          <w:szCs w:val="28"/>
        </w:rPr>
        <w:t>2101 Z1</w:t>
      </w:r>
      <w:r w:rsidRPr="002606A9">
        <w:rPr>
          <w:rFonts w:ascii="Utsaah" w:hAnsi="Utsaah" w:cs="Utsaah"/>
          <w:sz w:val="28"/>
          <w:szCs w:val="28"/>
        </w:rPr>
        <w:t xml:space="preserve"> </w:t>
      </w:r>
      <w:r w:rsidRPr="002606A9">
        <w:rPr>
          <w:rFonts w:ascii="Utsaah" w:hAnsi="Utsaah" w:cs="Utsaah"/>
          <w:b/>
          <w:sz w:val="28"/>
          <w:szCs w:val="28"/>
        </w:rPr>
        <w:t xml:space="preserve">Intervention en déficience intellectuelle </w:t>
      </w:r>
      <w:r w:rsidRPr="002606A9">
        <w:rPr>
          <w:rFonts w:ascii="Utsaah" w:hAnsi="Utsaah" w:cs="Utsaah"/>
          <w:sz w:val="28"/>
          <w:szCs w:val="28"/>
        </w:rPr>
        <w:t>(offert à la session d’automne)</w:t>
      </w:r>
    </w:p>
    <w:p w:rsidR="00C56E3F" w:rsidRPr="00F62F5F" w:rsidRDefault="00F62F5F" w:rsidP="00F62F5F">
      <w:pPr>
        <w:ind w:firstLine="709"/>
        <w:rPr>
          <w:rFonts w:ascii="Utsaah" w:hAnsi="Utsaah" w:cs="Utsaah"/>
          <w:b/>
          <w:sz w:val="28"/>
          <w:szCs w:val="28"/>
        </w:rPr>
      </w:pPr>
      <w:r w:rsidRPr="00F62F5F">
        <w:rPr>
          <w:rFonts w:ascii="Utsaah" w:hAnsi="Utsaah" w:cs="Utsaah"/>
          <w:b/>
          <w:sz w:val="28"/>
          <w:szCs w:val="28"/>
        </w:rPr>
        <w:t>PSE-2003 A</w:t>
      </w:r>
      <w:r>
        <w:rPr>
          <w:rFonts w:ascii="Utsaah" w:hAnsi="Utsaah" w:cs="Utsaah"/>
          <w:b/>
          <w:sz w:val="28"/>
          <w:szCs w:val="28"/>
        </w:rPr>
        <w:t xml:space="preserve"> </w:t>
      </w:r>
      <w:r w:rsidRPr="00F62F5F">
        <w:rPr>
          <w:rFonts w:ascii="Utsaah" w:hAnsi="Utsaah" w:cs="Utsaah"/>
          <w:b/>
          <w:sz w:val="28"/>
          <w:szCs w:val="28"/>
        </w:rPr>
        <w:t>Élèves en difficulté de comportement</w:t>
      </w:r>
      <w:r w:rsidR="00C56E3F" w:rsidRPr="002606A9">
        <w:rPr>
          <w:rFonts w:ascii="Utsaah" w:hAnsi="Utsaah" w:cs="Utsaah"/>
          <w:b/>
          <w:sz w:val="28"/>
          <w:szCs w:val="28"/>
        </w:rPr>
        <w:t xml:space="preserve"> </w:t>
      </w:r>
      <w:r w:rsidR="00C56E3F" w:rsidRPr="002606A9">
        <w:rPr>
          <w:rFonts w:ascii="Utsaah" w:hAnsi="Utsaah" w:cs="Utsaah"/>
          <w:sz w:val="28"/>
          <w:szCs w:val="28"/>
        </w:rPr>
        <w:t>(offert la session d’automne)</w:t>
      </w:r>
    </w:p>
    <w:p w:rsidR="002606A9" w:rsidRPr="002606A9" w:rsidRDefault="002606A9" w:rsidP="00C56E3F">
      <w:pPr>
        <w:ind w:firstLine="709"/>
        <w:rPr>
          <w:rFonts w:ascii="Utsaah" w:hAnsi="Utsaah" w:cs="Utsaah"/>
          <w:b/>
          <w:i/>
          <w:sz w:val="32"/>
          <w:szCs w:val="32"/>
        </w:rPr>
      </w:pPr>
    </w:p>
    <w:p w:rsidR="00BD251F" w:rsidRPr="006F36AA" w:rsidRDefault="00BD251F" w:rsidP="006F36AA">
      <w:pPr>
        <w:spacing w:before="60"/>
        <w:rPr>
          <w:rFonts w:ascii="Utsaah" w:hAnsi="Utsaah" w:cs="Utsaah"/>
          <w:szCs w:val="24"/>
        </w:rPr>
      </w:pPr>
    </w:p>
    <w:sectPr w:rsidR="00BD251F" w:rsidRPr="006F36AA" w:rsidSect="00062520">
      <w:headerReference w:type="even" r:id="rId7"/>
      <w:headerReference w:type="default" r:id="rId8"/>
      <w:footnotePr>
        <w:numRestart w:val="eachPage"/>
      </w:footnotePr>
      <w:pgSz w:w="15840" w:h="12240" w:orient="landscape"/>
      <w:pgMar w:top="426" w:right="720" w:bottom="0" w:left="851" w:header="284" w:footer="7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CA" w:rsidRDefault="00F831CA">
      <w:r>
        <w:separator/>
      </w:r>
    </w:p>
  </w:endnote>
  <w:endnote w:type="continuationSeparator" w:id="0">
    <w:p w:rsidR="00F831CA" w:rsidRDefault="00F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CA" w:rsidRDefault="00F831CA">
      <w:r>
        <w:separator/>
      </w:r>
    </w:p>
  </w:footnote>
  <w:footnote w:type="continuationSeparator" w:id="0">
    <w:p w:rsidR="00F831CA" w:rsidRDefault="00F8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6D" w:rsidRDefault="00927C4B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 w:rsidR="00E70E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E6D" w:rsidRDefault="00E70E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6D" w:rsidRPr="00D55DD5" w:rsidRDefault="00927C4B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="00E70E6D"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637C77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:rsidR="00E70E6D" w:rsidRDefault="00E70E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FEE"/>
    <w:multiLevelType w:val="hybridMultilevel"/>
    <w:tmpl w:val="8B2EF674"/>
    <w:lvl w:ilvl="0" w:tplc="FF40BE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02626"/>
    <w:rsid w:val="00036DF7"/>
    <w:rsid w:val="000375BF"/>
    <w:rsid w:val="00044592"/>
    <w:rsid w:val="00045CD6"/>
    <w:rsid w:val="0005112D"/>
    <w:rsid w:val="00062520"/>
    <w:rsid w:val="00062C90"/>
    <w:rsid w:val="00067BD8"/>
    <w:rsid w:val="000760F8"/>
    <w:rsid w:val="000B045A"/>
    <w:rsid w:val="000B5FE3"/>
    <w:rsid w:val="000C28A2"/>
    <w:rsid w:val="000C6B40"/>
    <w:rsid w:val="000D20C2"/>
    <w:rsid w:val="000E2E1C"/>
    <w:rsid w:val="000F2111"/>
    <w:rsid w:val="000F4F3C"/>
    <w:rsid w:val="00102109"/>
    <w:rsid w:val="00135E33"/>
    <w:rsid w:val="001567C8"/>
    <w:rsid w:val="00163CF9"/>
    <w:rsid w:val="0016719E"/>
    <w:rsid w:val="00182EEC"/>
    <w:rsid w:val="00192750"/>
    <w:rsid w:val="001A5F86"/>
    <w:rsid w:val="001B13B5"/>
    <w:rsid w:val="001B54C0"/>
    <w:rsid w:val="001B6D3E"/>
    <w:rsid w:val="001C0A34"/>
    <w:rsid w:val="001E0C48"/>
    <w:rsid w:val="001E2628"/>
    <w:rsid w:val="001E2D64"/>
    <w:rsid w:val="00214EAF"/>
    <w:rsid w:val="00215379"/>
    <w:rsid w:val="00241DED"/>
    <w:rsid w:val="002606A9"/>
    <w:rsid w:val="0026236E"/>
    <w:rsid w:val="002903DA"/>
    <w:rsid w:val="00291BC6"/>
    <w:rsid w:val="002926F9"/>
    <w:rsid w:val="002A62E2"/>
    <w:rsid w:val="002A7ECC"/>
    <w:rsid w:val="002D562D"/>
    <w:rsid w:val="002D6939"/>
    <w:rsid w:val="002E7328"/>
    <w:rsid w:val="002F0FF2"/>
    <w:rsid w:val="002F6999"/>
    <w:rsid w:val="0030034A"/>
    <w:rsid w:val="00301004"/>
    <w:rsid w:val="003219A0"/>
    <w:rsid w:val="003373F3"/>
    <w:rsid w:val="003407ED"/>
    <w:rsid w:val="00351DC8"/>
    <w:rsid w:val="00387352"/>
    <w:rsid w:val="00387812"/>
    <w:rsid w:val="003B2914"/>
    <w:rsid w:val="003B4B95"/>
    <w:rsid w:val="003D19E3"/>
    <w:rsid w:val="003D5BD2"/>
    <w:rsid w:val="003D645E"/>
    <w:rsid w:val="003E6B5F"/>
    <w:rsid w:val="003F1AC5"/>
    <w:rsid w:val="0040505C"/>
    <w:rsid w:val="004250D5"/>
    <w:rsid w:val="00437838"/>
    <w:rsid w:val="00455FFC"/>
    <w:rsid w:val="004650A3"/>
    <w:rsid w:val="00465A55"/>
    <w:rsid w:val="00476108"/>
    <w:rsid w:val="00496F8B"/>
    <w:rsid w:val="00497AA3"/>
    <w:rsid w:val="004A35F9"/>
    <w:rsid w:val="004A7060"/>
    <w:rsid w:val="004D1AF3"/>
    <w:rsid w:val="004D20A9"/>
    <w:rsid w:val="004E3187"/>
    <w:rsid w:val="004E57EF"/>
    <w:rsid w:val="004F696D"/>
    <w:rsid w:val="004F6EFF"/>
    <w:rsid w:val="00535933"/>
    <w:rsid w:val="00546E30"/>
    <w:rsid w:val="00562726"/>
    <w:rsid w:val="00571828"/>
    <w:rsid w:val="00574C1A"/>
    <w:rsid w:val="00590A92"/>
    <w:rsid w:val="00622758"/>
    <w:rsid w:val="00623B6C"/>
    <w:rsid w:val="00625BBE"/>
    <w:rsid w:val="0063515E"/>
    <w:rsid w:val="00637C77"/>
    <w:rsid w:val="00654B76"/>
    <w:rsid w:val="00673ABB"/>
    <w:rsid w:val="00686401"/>
    <w:rsid w:val="00687E48"/>
    <w:rsid w:val="006A17C7"/>
    <w:rsid w:val="006A44E6"/>
    <w:rsid w:val="006B0EB7"/>
    <w:rsid w:val="006B2E2D"/>
    <w:rsid w:val="006C2C85"/>
    <w:rsid w:val="006D568A"/>
    <w:rsid w:val="006E0D6C"/>
    <w:rsid w:val="006F12C9"/>
    <w:rsid w:val="006F36AA"/>
    <w:rsid w:val="006F3934"/>
    <w:rsid w:val="006F46C5"/>
    <w:rsid w:val="00700A1F"/>
    <w:rsid w:val="007138AB"/>
    <w:rsid w:val="00715254"/>
    <w:rsid w:val="00722576"/>
    <w:rsid w:val="00725254"/>
    <w:rsid w:val="00733ED9"/>
    <w:rsid w:val="00735847"/>
    <w:rsid w:val="007400FD"/>
    <w:rsid w:val="00740941"/>
    <w:rsid w:val="007450B9"/>
    <w:rsid w:val="00761DDA"/>
    <w:rsid w:val="00764F26"/>
    <w:rsid w:val="00767324"/>
    <w:rsid w:val="00781629"/>
    <w:rsid w:val="00784FB3"/>
    <w:rsid w:val="00795F3D"/>
    <w:rsid w:val="007A3C6B"/>
    <w:rsid w:val="007C3DB3"/>
    <w:rsid w:val="007C552F"/>
    <w:rsid w:val="007D05ED"/>
    <w:rsid w:val="007D360C"/>
    <w:rsid w:val="007E24D3"/>
    <w:rsid w:val="007F5D8C"/>
    <w:rsid w:val="00815DD9"/>
    <w:rsid w:val="00823294"/>
    <w:rsid w:val="008238CD"/>
    <w:rsid w:val="0083035A"/>
    <w:rsid w:val="00861470"/>
    <w:rsid w:val="008627B7"/>
    <w:rsid w:val="00870BC1"/>
    <w:rsid w:val="00891E86"/>
    <w:rsid w:val="008A6927"/>
    <w:rsid w:val="008C0B15"/>
    <w:rsid w:val="008C530C"/>
    <w:rsid w:val="008D7BA1"/>
    <w:rsid w:val="008E04E2"/>
    <w:rsid w:val="009068AA"/>
    <w:rsid w:val="00922DCF"/>
    <w:rsid w:val="00927C4B"/>
    <w:rsid w:val="00935522"/>
    <w:rsid w:val="00935BDE"/>
    <w:rsid w:val="00944163"/>
    <w:rsid w:val="009465C0"/>
    <w:rsid w:val="00951C29"/>
    <w:rsid w:val="00956977"/>
    <w:rsid w:val="00963E1D"/>
    <w:rsid w:val="009706D9"/>
    <w:rsid w:val="00971681"/>
    <w:rsid w:val="009716BE"/>
    <w:rsid w:val="00984295"/>
    <w:rsid w:val="00992CD5"/>
    <w:rsid w:val="00994678"/>
    <w:rsid w:val="00997148"/>
    <w:rsid w:val="009C0312"/>
    <w:rsid w:val="009D4A29"/>
    <w:rsid w:val="009F2AC3"/>
    <w:rsid w:val="009F3A32"/>
    <w:rsid w:val="009F416A"/>
    <w:rsid w:val="00A12142"/>
    <w:rsid w:val="00A4672F"/>
    <w:rsid w:val="00A56509"/>
    <w:rsid w:val="00A64EFF"/>
    <w:rsid w:val="00AC2714"/>
    <w:rsid w:val="00AD6BED"/>
    <w:rsid w:val="00AE335A"/>
    <w:rsid w:val="00AE68D1"/>
    <w:rsid w:val="00B11F47"/>
    <w:rsid w:val="00B20940"/>
    <w:rsid w:val="00B2782F"/>
    <w:rsid w:val="00B302F1"/>
    <w:rsid w:val="00B321FB"/>
    <w:rsid w:val="00B32755"/>
    <w:rsid w:val="00B47873"/>
    <w:rsid w:val="00B4792A"/>
    <w:rsid w:val="00B51736"/>
    <w:rsid w:val="00B77D84"/>
    <w:rsid w:val="00B85201"/>
    <w:rsid w:val="00B93687"/>
    <w:rsid w:val="00B9578E"/>
    <w:rsid w:val="00BA6CE5"/>
    <w:rsid w:val="00BB2CEC"/>
    <w:rsid w:val="00BC00D7"/>
    <w:rsid w:val="00BC5D76"/>
    <w:rsid w:val="00BC6842"/>
    <w:rsid w:val="00BD251F"/>
    <w:rsid w:val="00BD2E02"/>
    <w:rsid w:val="00BE3189"/>
    <w:rsid w:val="00BF24AE"/>
    <w:rsid w:val="00C118AC"/>
    <w:rsid w:val="00C2071D"/>
    <w:rsid w:val="00C43796"/>
    <w:rsid w:val="00C5305B"/>
    <w:rsid w:val="00C54C77"/>
    <w:rsid w:val="00C56E3F"/>
    <w:rsid w:val="00C6105A"/>
    <w:rsid w:val="00C61A76"/>
    <w:rsid w:val="00C61B41"/>
    <w:rsid w:val="00C62DFE"/>
    <w:rsid w:val="00C672C9"/>
    <w:rsid w:val="00C92899"/>
    <w:rsid w:val="00C97D7C"/>
    <w:rsid w:val="00CB5ED2"/>
    <w:rsid w:val="00CD31D4"/>
    <w:rsid w:val="00CF313E"/>
    <w:rsid w:val="00CF7821"/>
    <w:rsid w:val="00CF793F"/>
    <w:rsid w:val="00D1441D"/>
    <w:rsid w:val="00D30A42"/>
    <w:rsid w:val="00D31254"/>
    <w:rsid w:val="00D37FBE"/>
    <w:rsid w:val="00D4284E"/>
    <w:rsid w:val="00D4608D"/>
    <w:rsid w:val="00D4639B"/>
    <w:rsid w:val="00D5504B"/>
    <w:rsid w:val="00D55DD5"/>
    <w:rsid w:val="00D63B0D"/>
    <w:rsid w:val="00D75B00"/>
    <w:rsid w:val="00D75E14"/>
    <w:rsid w:val="00E041C4"/>
    <w:rsid w:val="00E071EE"/>
    <w:rsid w:val="00E145AB"/>
    <w:rsid w:val="00E208E4"/>
    <w:rsid w:val="00E32A30"/>
    <w:rsid w:val="00E36AF3"/>
    <w:rsid w:val="00E650D3"/>
    <w:rsid w:val="00E67491"/>
    <w:rsid w:val="00E70E6D"/>
    <w:rsid w:val="00E8336E"/>
    <w:rsid w:val="00E95230"/>
    <w:rsid w:val="00EE4379"/>
    <w:rsid w:val="00EF3E81"/>
    <w:rsid w:val="00F064D5"/>
    <w:rsid w:val="00F10DAD"/>
    <w:rsid w:val="00F2014E"/>
    <w:rsid w:val="00F45823"/>
    <w:rsid w:val="00F51384"/>
    <w:rsid w:val="00F62F5F"/>
    <w:rsid w:val="00F7607D"/>
    <w:rsid w:val="00F831CA"/>
    <w:rsid w:val="00F83FD0"/>
    <w:rsid w:val="00F923D2"/>
    <w:rsid w:val="00F95C57"/>
    <w:rsid w:val="00F97F59"/>
    <w:rsid w:val="00FA4CCE"/>
    <w:rsid w:val="00FB0547"/>
    <w:rsid w:val="00FB4DA3"/>
    <w:rsid w:val="00FC530C"/>
    <w:rsid w:val="00FC620A"/>
    <w:rsid w:val="00FC7494"/>
    <w:rsid w:val="00FD161E"/>
    <w:rsid w:val="00FD1AE2"/>
    <w:rsid w:val="00FD7736"/>
    <w:rsid w:val="00FE7608"/>
    <w:rsid w:val="00FF572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12D2A-ADCE-4ED8-84DF-A86F355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E5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Sonia Daigle</cp:lastModifiedBy>
  <cp:revision>13</cp:revision>
  <cp:lastPrinted>2018-03-20T15:57:00Z</cp:lastPrinted>
  <dcterms:created xsi:type="dcterms:W3CDTF">2018-03-20T14:49:00Z</dcterms:created>
  <dcterms:modified xsi:type="dcterms:W3CDTF">2018-03-29T15:27:00Z</dcterms:modified>
</cp:coreProperties>
</file>